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19C" w:rsidRPr="00F17059" w:rsidRDefault="00AA212D" w:rsidP="00F17059">
      <w:pPr>
        <w:pStyle w:val="Standard"/>
        <w:spacing w:line="276" w:lineRule="auto"/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noProof/>
          <w:sz w:val="20"/>
          <w:szCs w:val="20"/>
          <w:lang w:eastAsia="pl-PL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59690</wp:posOffset>
            </wp:positionH>
            <wp:positionV relativeFrom="paragraph">
              <wp:posOffset>-603250</wp:posOffset>
            </wp:positionV>
            <wp:extent cx="1546225" cy="1330960"/>
            <wp:effectExtent l="19050" t="0" r="0" b="0"/>
            <wp:wrapTight wrapText="bothSides">
              <wp:wrapPolygon edited="0">
                <wp:start x="-266" y="0"/>
                <wp:lineTo x="-266" y="21332"/>
                <wp:lineTo x="21556" y="21332"/>
                <wp:lineTo x="21556" y="0"/>
                <wp:lineTo x="-266" y="0"/>
              </wp:wrapPolygon>
            </wp:wrapTight>
            <wp:docPr id="2" name="Obraz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225" cy="1330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31F12" w:rsidRPr="00F17059">
        <w:rPr>
          <w:rFonts w:ascii="Arial Narrow" w:hAnsi="Arial Narrow"/>
          <w:sz w:val="20"/>
          <w:szCs w:val="20"/>
        </w:rPr>
        <w:tab/>
      </w:r>
      <w:r w:rsidR="00B31F12" w:rsidRPr="00F17059">
        <w:rPr>
          <w:rFonts w:ascii="Arial Narrow" w:hAnsi="Arial Narrow"/>
          <w:sz w:val="20"/>
          <w:szCs w:val="20"/>
        </w:rPr>
        <w:tab/>
      </w:r>
      <w:r w:rsidR="00B31F12" w:rsidRPr="00F17059">
        <w:rPr>
          <w:rFonts w:ascii="Arial Narrow" w:hAnsi="Arial Narrow"/>
          <w:sz w:val="20"/>
          <w:szCs w:val="20"/>
        </w:rPr>
        <w:tab/>
      </w:r>
      <w:r w:rsidR="00B31F12" w:rsidRPr="00F17059">
        <w:rPr>
          <w:rFonts w:ascii="Arial Narrow" w:hAnsi="Arial Narrow"/>
          <w:sz w:val="20"/>
          <w:szCs w:val="20"/>
        </w:rPr>
        <w:tab/>
      </w:r>
      <w:r w:rsidR="00B31F12" w:rsidRPr="00F17059">
        <w:rPr>
          <w:rFonts w:ascii="Arial Narrow" w:hAnsi="Arial Narrow"/>
          <w:sz w:val="20"/>
          <w:szCs w:val="20"/>
        </w:rPr>
        <w:tab/>
      </w:r>
      <w:r w:rsidR="00B31F12" w:rsidRPr="00F17059">
        <w:rPr>
          <w:rFonts w:ascii="Arial Narrow" w:hAnsi="Arial Narrow"/>
          <w:sz w:val="20"/>
          <w:szCs w:val="20"/>
        </w:rPr>
        <w:tab/>
      </w:r>
      <w:r w:rsidR="00B31F12" w:rsidRPr="00F17059">
        <w:rPr>
          <w:rFonts w:ascii="Arial Narrow" w:hAnsi="Arial Narrow"/>
          <w:sz w:val="20"/>
          <w:szCs w:val="20"/>
        </w:rPr>
        <w:tab/>
      </w:r>
      <w:r w:rsidR="00B31F12" w:rsidRPr="00F17059">
        <w:rPr>
          <w:rFonts w:ascii="Arial Narrow" w:hAnsi="Arial Narrow"/>
          <w:sz w:val="20"/>
          <w:szCs w:val="20"/>
        </w:rPr>
        <w:tab/>
      </w:r>
      <w:r w:rsidR="00B31F12" w:rsidRPr="00F17059">
        <w:rPr>
          <w:rFonts w:ascii="Arial Narrow" w:hAnsi="Arial Narrow"/>
          <w:sz w:val="20"/>
          <w:szCs w:val="20"/>
        </w:rPr>
        <w:tab/>
      </w:r>
      <w:r w:rsidR="00B31F12" w:rsidRPr="00F17059">
        <w:rPr>
          <w:rFonts w:ascii="Arial Narrow" w:hAnsi="Arial Narrow"/>
          <w:sz w:val="20"/>
          <w:szCs w:val="20"/>
        </w:rPr>
        <w:tab/>
      </w:r>
      <w:r w:rsidR="00B31F12" w:rsidRPr="00F17059">
        <w:rPr>
          <w:rFonts w:ascii="Arial Narrow" w:hAnsi="Arial Narrow"/>
          <w:sz w:val="20"/>
          <w:szCs w:val="20"/>
        </w:rPr>
        <w:tab/>
      </w:r>
      <w:r w:rsidR="00B31F12" w:rsidRPr="00F17059">
        <w:rPr>
          <w:rFonts w:ascii="Arial Narrow" w:hAnsi="Arial Narrow"/>
          <w:sz w:val="20"/>
          <w:szCs w:val="20"/>
        </w:rPr>
        <w:tab/>
      </w:r>
      <w:r w:rsidR="00B31F12" w:rsidRPr="00F17059">
        <w:rPr>
          <w:rFonts w:ascii="Arial Narrow" w:hAnsi="Arial Narrow"/>
          <w:sz w:val="20"/>
          <w:szCs w:val="20"/>
        </w:rPr>
        <w:tab/>
      </w:r>
      <w:r w:rsidR="00B31F12" w:rsidRPr="00F17059">
        <w:rPr>
          <w:rFonts w:ascii="Arial Narrow" w:hAnsi="Arial Narrow"/>
          <w:sz w:val="20"/>
          <w:szCs w:val="20"/>
        </w:rPr>
        <w:tab/>
      </w:r>
      <w:r w:rsidR="00B31F12" w:rsidRPr="00F17059">
        <w:rPr>
          <w:rFonts w:ascii="Arial Narrow" w:hAnsi="Arial Narrow"/>
          <w:sz w:val="20"/>
          <w:szCs w:val="20"/>
        </w:rPr>
        <w:tab/>
      </w:r>
      <w:r w:rsidR="00B31F12" w:rsidRPr="00F17059">
        <w:rPr>
          <w:rFonts w:ascii="Arial Narrow" w:hAnsi="Arial Narrow"/>
          <w:sz w:val="20"/>
          <w:szCs w:val="20"/>
        </w:rPr>
        <w:tab/>
      </w:r>
      <w:r w:rsidR="00B31F12" w:rsidRPr="00F17059">
        <w:rPr>
          <w:rFonts w:ascii="Arial Narrow" w:hAnsi="Arial Narrow"/>
          <w:sz w:val="20"/>
          <w:szCs w:val="20"/>
        </w:rPr>
        <w:tab/>
      </w:r>
      <w:r w:rsidR="00B31F12" w:rsidRPr="00F17059">
        <w:rPr>
          <w:rFonts w:ascii="Arial Narrow" w:hAnsi="Arial Narrow"/>
          <w:sz w:val="20"/>
          <w:szCs w:val="20"/>
        </w:rPr>
        <w:tab/>
      </w:r>
      <w:r w:rsidR="00B31F12" w:rsidRPr="00F17059">
        <w:rPr>
          <w:rFonts w:ascii="Arial Narrow" w:hAnsi="Arial Narrow"/>
          <w:sz w:val="20"/>
          <w:szCs w:val="20"/>
        </w:rPr>
        <w:tab/>
      </w:r>
      <w:r w:rsidR="00B31F12" w:rsidRPr="00F17059">
        <w:rPr>
          <w:rFonts w:ascii="Arial Narrow" w:hAnsi="Arial Narrow"/>
          <w:sz w:val="20"/>
          <w:szCs w:val="20"/>
        </w:rPr>
        <w:tab/>
      </w:r>
      <w:r w:rsidR="00B31F12" w:rsidRPr="00F17059">
        <w:rPr>
          <w:rFonts w:ascii="Arial Narrow" w:hAnsi="Arial Narrow"/>
          <w:sz w:val="20"/>
          <w:szCs w:val="20"/>
        </w:rPr>
        <w:tab/>
      </w:r>
      <w:r w:rsidR="00B31F12" w:rsidRPr="00F17059">
        <w:rPr>
          <w:rFonts w:ascii="Arial Narrow" w:hAnsi="Arial Narrow"/>
          <w:sz w:val="20"/>
          <w:szCs w:val="20"/>
        </w:rPr>
        <w:tab/>
      </w:r>
      <w:r w:rsidR="00B31F12" w:rsidRPr="00F17059">
        <w:rPr>
          <w:rFonts w:ascii="Arial Narrow" w:hAnsi="Arial Narrow"/>
          <w:sz w:val="20"/>
          <w:szCs w:val="20"/>
        </w:rPr>
        <w:tab/>
      </w:r>
      <w:r w:rsidRPr="00F17059">
        <w:rPr>
          <w:rFonts w:ascii="Arial Narrow" w:hAnsi="Arial Narrow"/>
          <w:sz w:val="20"/>
          <w:szCs w:val="20"/>
        </w:rPr>
        <w:t xml:space="preserve">              </w:t>
      </w:r>
      <w:r w:rsidR="00B31F12" w:rsidRPr="00F17059">
        <w:rPr>
          <w:rFonts w:ascii="Arial Narrow" w:hAnsi="Arial Narrow"/>
          <w:b/>
          <w:bCs/>
          <w:sz w:val="20"/>
          <w:szCs w:val="20"/>
        </w:rPr>
        <w:t>PR9.1_PJ1_IN1_z1</w:t>
      </w:r>
      <w:r w:rsidR="009B6F59" w:rsidRPr="00F17059">
        <w:rPr>
          <w:rFonts w:ascii="Arial Narrow" w:hAnsi="Arial Narrow"/>
          <w:b/>
          <w:bCs/>
          <w:sz w:val="20"/>
          <w:szCs w:val="20"/>
        </w:rPr>
        <w:t>_w3</w:t>
      </w:r>
      <w:r w:rsidR="00B31F12" w:rsidRPr="00F17059">
        <w:rPr>
          <w:rFonts w:ascii="Arial Narrow" w:hAnsi="Arial Narrow"/>
          <w:sz w:val="20"/>
          <w:szCs w:val="20"/>
        </w:rPr>
        <w:tab/>
      </w:r>
    </w:p>
    <w:p w:rsidR="00B6319C" w:rsidRPr="00F17059" w:rsidRDefault="00B6319C" w:rsidP="00F17059">
      <w:pPr>
        <w:pStyle w:val="Standard"/>
        <w:spacing w:line="276" w:lineRule="auto"/>
        <w:rPr>
          <w:rFonts w:ascii="Arial Narrow" w:hAnsi="Arial Narrow"/>
          <w:sz w:val="20"/>
          <w:szCs w:val="20"/>
        </w:rPr>
      </w:pPr>
    </w:p>
    <w:p w:rsidR="00B6319C" w:rsidRPr="00F17059" w:rsidRDefault="00B6319C" w:rsidP="00F17059">
      <w:pPr>
        <w:pStyle w:val="Standard"/>
        <w:spacing w:line="276" w:lineRule="auto"/>
        <w:rPr>
          <w:rFonts w:ascii="Arial Narrow" w:hAnsi="Arial Narrow"/>
          <w:sz w:val="20"/>
          <w:szCs w:val="20"/>
        </w:rPr>
      </w:pPr>
    </w:p>
    <w:p w:rsidR="00B6319C" w:rsidRPr="00F17059" w:rsidRDefault="00B31F12" w:rsidP="00F17059">
      <w:pPr>
        <w:pStyle w:val="Textbody"/>
        <w:rPr>
          <w:rFonts w:ascii="Arial Narrow" w:hAnsi="Arial Narrow"/>
          <w:sz w:val="20"/>
          <w:szCs w:val="20"/>
        </w:rPr>
      </w:pPr>
      <w:r w:rsidRPr="00F17059">
        <w:rPr>
          <w:rStyle w:val="StrongEmphasis"/>
          <w:rFonts w:ascii="Arial Narrow" w:hAnsi="Arial Narrow"/>
          <w:sz w:val="20"/>
          <w:szCs w:val="20"/>
        </w:rPr>
        <w:t>Przygotowanie pacjenta do pobrania krwi:</w:t>
      </w:r>
      <w:r w:rsidR="00AA212D" w:rsidRPr="00F17059">
        <w:rPr>
          <w:rStyle w:val="StrongEmphasis"/>
          <w:rFonts w:ascii="Arial Narrow" w:hAnsi="Arial Narrow"/>
          <w:sz w:val="20"/>
          <w:szCs w:val="20"/>
        </w:rPr>
        <w:t xml:space="preserve"> </w:t>
      </w:r>
    </w:p>
    <w:p w:rsidR="00B6319C" w:rsidRPr="00F17059" w:rsidRDefault="00950D19" w:rsidP="00F17059">
      <w:pPr>
        <w:pStyle w:val="Textbody"/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>Aby uzyskać wiarygodne wyniki  badań laboratoryjnych bardzo ważne jest prawidłowe  przygotowanie. Prosimy o zapoznanie się z poniższymi zaleceniami</w:t>
      </w:r>
      <w:r w:rsidR="00E665A6" w:rsidRPr="00F17059">
        <w:rPr>
          <w:rFonts w:ascii="Arial Narrow" w:hAnsi="Arial Narrow"/>
          <w:sz w:val="20"/>
          <w:szCs w:val="20"/>
        </w:rPr>
        <w:t>:</w:t>
      </w:r>
    </w:p>
    <w:p w:rsidR="00E665A6" w:rsidRPr="00F17059" w:rsidRDefault="00950D19" w:rsidP="00F17059">
      <w:pPr>
        <w:pStyle w:val="Textbody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>Stres przed pobraniem krwi może znacząco wpłynąć na wyniki badań  podnosząc poziom glukozy,</w:t>
      </w:r>
    </w:p>
    <w:p w:rsidR="00A12C97" w:rsidRPr="00F17059" w:rsidRDefault="00950D19" w:rsidP="00F17059">
      <w:pPr>
        <w:pStyle w:val="Textbody"/>
        <w:ind w:firstLine="709"/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 xml:space="preserve"> cholesterolu, prolaktyny, hormonów stresu (kortyzol, adrenalina) </w:t>
      </w:r>
    </w:p>
    <w:p w:rsidR="00A12C97" w:rsidRPr="00F17059" w:rsidRDefault="00A12C97" w:rsidP="00F17059">
      <w:pPr>
        <w:pStyle w:val="Textbody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>Krew powinna być pobrana po kilkuminutowym odpoczynku, najlepiej w pozycji siedzącej  około 15 minut.</w:t>
      </w:r>
    </w:p>
    <w:p w:rsidR="00B6319C" w:rsidRPr="00F17059" w:rsidRDefault="00B31F12" w:rsidP="00F17059">
      <w:pPr>
        <w:pStyle w:val="Textbody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 xml:space="preserve"> Krew należy pobierać rano (najlepiej pomiędzy godziną 7:00 a 9:00) po wypoczynku nocnym.</w:t>
      </w:r>
    </w:p>
    <w:p w:rsidR="00CD29A0" w:rsidRPr="00F17059" w:rsidRDefault="00B31F12" w:rsidP="00F17059">
      <w:pPr>
        <w:pStyle w:val="Textbody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 xml:space="preserve"> Pacjent powinien być na czczo (po co najmniej 10-12 godzinnym wstrzymaniu się od posiłków </w:t>
      </w:r>
    </w:p>
    <w:p w:rsidR="00B6319C" w:rsidRPr="00F17059" w:rsidRDefault="00B31F12" w:rsidP="00F17059">
      <w:pPr>
        <w:pStyle w:val="Textbody"/>
        <w:ind w:firstLine="709"/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>i płynów).</w:t>
      </w:r>
    </w:p>
    <w:p w:rsidR="00B6319C" w:rsidRPr="00F17059" w:rsidRDefault="00B31F12" w:rsidP="00F17059">
      <w:pPr>
        <w:pStyle w:val="Textbody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>Krew do badania laboratoryjnego pobiera się przy zachowaniu dotychczasowej diety.</w:t>
      </w:r>
    </w:p>
    <w:p w:rsidR="00E665A6" w:rsidRPr="00F17059" w:rsidRDefault="00A12C97" w:rsidP="00F17059">
      <w:pPr>
        <w:pStyle w:val="Textbody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 xml:space="preserve">Przed pobraniem krwi do badań dopuszcza się picie wody przegotowanej  w niewielkiej ilości pozwalającej  </w:t>
      </w:r>
    </w:p>
    <w:p w:rsidR="00A12C97" w:rsidRPr="00F17059" w:rsidRDefault="00A12C97" w:rsidP="00F17059">
      <w:pPr>
        <w:pStyle w:val="Textbody"/>
        <w:ind w:firstLine="709"/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>na zaspokojenie pragnienia.</w:t>
      </w:r>
    </w:p>
    <w:p w:rsidR="00A12C97" w:rsidRPr="00F17059" w:rsidRDefault="00A12C97" w:rsidP="00F17059">
      <w:pPr>
        <w:pStyle w:val="Textbody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 xml:space="preserve">Woda powinna być bez dodatków cukru, słodzików , aromatów i soków. </w:t>
      </w:r>
    </w:p>
    <w:p w:rsidR="00B6319C" w:rsidRPr="00F17059" w:rsidRDefault="00B31F12" w:rsidP="00F17059">
      <w:pPr>
        <w:pStyle w:val="Textbody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 xml:space="preserve">Pacjent nie powinien pić alkoholu </w:t>
      </w:r>
      <w:r w:rsidR="00A12C97" w:rsidRPr="00F17059">
        <w:rPr>
          <w:rFonts w:ascii="Arial Narrow" w:hAnsi="Arial Narrow"/>
          <w:sz w:val="20"/>
          <w:szCs w:val="20"/>
        </w:rPr>
        <w:t xml:space="preserve">przynajmniej </w:t>
      </w:r>
      <w:r w:rsidRPr="00F17059">
        <w:rPr>
          <w:rFonts w:ascii="Arial Narrow" w:hAnsi="Arial Narrow"/>
          <w:sz w:val="20"/>
          <w:szCs w:val="20"/>
        </w:rPr>
        <w:t>2-3 dni przed badaniem</w:t>
      </w:r>
      <w:r w:rsidR="00950D19" w:rsidRPr="00F17059">
        <w:rPr>
          <w:rFonts w:ascii="Arial Narrow" w:hAnsi="Arial Narrow"/>
          <w:sz w:val="20"/>
          <w:szCs w:val="20"/>
        </w:rPr>
        <w:t xml:space="preserve"> </w:t>
      </w:r>
      <w:r w:rsidR="00A12C97" w:rsidRPr="00F17059">
        <w:rPr>
          <w:rFonts w:ascii="Arial Narrow" w:hAnsi="Arial Narrow"/>
          <w:sz w:val="20"/>
          <w:szCs w:val="20"/>
        </w:rPr>
        <w:t>, alkohol wpływa na wiele parametrów.</w:t>
      </w:r>
    </w:p>
    <w:p w:rsidR="00A12C97" w:rsidRPr="00F17059" w:rsidRDefault="00A12C97" w:rsidP="00F17059">
      <w:pPr>
        <w:pStyle w:val="Textbody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 xml:space="preserve">W dniu pobrania materiału  pacjent nie powinien palić papierosów. </w:t>
      </w:r>
    </w:p>
    <w:p w:rsidR="00A12C97" w:rsidRPr="00F17059" w:rsidRDefault="00A12C97" w:rsidP="00F17059">
      <w:pPr>
        <w:pStyle w:val="Textbody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>Badania nie powinno się wykonywać po nieprzespanej nocy i forsowny, wysiłku fizycznym.</w:t>
      </w:r>
    </w:p>
    <w:p w:rsidR="00A12C97" w:rsidRPr="00F17059" w:rsidRDefault="00A12C97" w:rsidP="00F17059">
      <w:pPr>
        <w:pStyle w:val="Textbody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>Od standardowego treningu odczekać 24 godziny , optymalnie 72 godziny.</w:t>
      </w:r>
    </w:p>
    <w:p w:rsidR="00E665A6" w:rsidRPr="00F17059" w:rsidRDefault="00A12C97" w:rsidP="00F17059">
      <w:pPr>
        <w:pStyle w:val="Textbody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 xml:space="preserve">Po bardzo intensywnym wysiłku (maraton, zawody sportowe) większość parametrów stabilizuje się </w:t>
      </w:r>
    </w:p>
    <w:p w:rsidR="00A12C97" w:rsidRPr="00F17059" w:rsidRDefault="00A12C97" w:rsidP="00F17059">
      <w:pPr>
        <w:pStyle w:val="Textbody"/>
        <w:ind w:firstLine="709"/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 xml:space="preserve">dopiero po ok. 20 dniach. </w:t>
      </w:r>
    </w:p>
    <w:p w:rsidR="00B6319C" w:rsidRPr="00F17059" w:rsidRDefault="00B31F12" w:rsidP="00F17059">
      <w:pPr>
        <w:pStyle w:val="Textbody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>Badania należy przeprowadzić przy braku obecności urazów, choroby.</w:t>
      </w:r>
    </w:p>
    <w:p w:rsidR="00B6319C" w:rsidRPr="00F17059" w:rsidRDefault="007361A8" w:rsidP="00F17059">
      <w:pPr>
        <w:pStyle w:val="Textbody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>Nie zaleca się zażywania leków ani suplementów diety bez konsultacji z lekarzem.</w:t>
      </w:r>
    </w:p>
    <w:p w:rsidR="00E665A6" w:rsidRPr="00F17059" w:rsidRDefault="007361A8" w:rsidP="00F17059">
      <w:pPr>
        <w:pStyle w:val="Textbody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 xml:space="preserve">W celu oznaczenia  stężenia leków krew należy pobrać przed przyjęciem dawki porannej  lub w szczycie </w:t>
      </w:r>
    </w:p>
    <w:p w:rsidR="007361A8" w:rsidRPr="00F17059" w:rsidRDefault="007361A8" w:rsidP="00F17059">
      <w:pPr>
        <w:pStyle w:val="Textbody"/>
        <w:ind w:firstLine="709"/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 xml:space="preserve">wchłaniania (maksymalne stężenie). </w:t>
      </w:r>
    </w:p>
    <w:p w:rsidR="00E665A6" w:rsidRPr="00F17059" w:rsidRDefault="007361A8" w:rsidP="00F17059">
      <w:pPr>
        <w:pStyle w:val="Textbody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 xml:space="preserve">Jeśli lekarz zaleci odstawienie leków  lub pobranie próbki w określonym momencie dawki, należy zastosować </w:t>
      </w:r>
    </w:p>
    <w:p w:rsidR="007361A8" w:rsidRPr="00F17059" w:rsidRDefault="00E665A6" w:rsidP="00F17059">
      <w:pPr>
        <w:pStyle w:val="Textbody"/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ab/>
      </w:r>
      <w:r w:rsidR="007361A8" w:rsidRPr="00F17059">
        <w:rPr>
          <w:rFonts w:ascii="Arial Narrow" w:hAnsi="Arial Narrow"/>
          <w:sz w:val="20"/>
          <w:szCs w:val="20"/>
        </w:rPr>
        <w:t>się do jego zaleceń.</w:t>
      </w:r>
    </w:p>
    <w:p w:rsidR="007361A8" w:rsidRPr="00F17059" w:rsidRDefault="007361A8" w:rsidP="00F17059">
      <w:pPr>
        <w:pStyle w:val="Textbody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>Nie należy przyjmować biotyny co najmniej 8 godzin przed pobraniem krwi.</w:t>
      </w:r>
    </w:p>
    <w:p w:rsidR="007361A8" w:rsidRPr="00F17059" w:rsidRDefault="007361A8" w:rsidP="00F17059">
      <w:pPr>
        <w:pStyle w:val="Textbody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>Preparaty ziołowe mogą wpływać na wynik oznaczenia .</w:t>
      </w:r>
    </w:p>
    <w:p w:rsidR="00B6319C" w:rsidRPr="00F17059" w:rsidRDefault="007361A8" w:rsidP="00F17059">
      <w:pPr>
        <w:pStyle w:val="Textbody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>Hormony regulujące cykl miesiączkowy (LH, FSH, estradiol) najlepiej  oznaczać w pierwszych 3 dniach cyklu.</w:t>
      </w:r>
    </w:p>
    <w:p w:rsidR="00E665A6" w:rsidRPr="00F17059" w:rsidRDefault="007361A8" w:rsidP="00F17059">
      <w:pPr>
        <w:pStyle w:val="Textbody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lastRenderedPageBreak/>
        <w:t xml:space="preserve">Przy przyjmowaniu antykoncepcji lub w okresie około menopauzalnym zaleca się ustalenie  terminu </w:t>
      </w:r>
    </w:p>
    <w:p w:rsidR="007361A8" w:rsidRPr="00F17059" w:rsidRDefault="007361A8" w:rsidP="00F17059">
      <w:pPr>
        <w:pStyle w:val="Textbody"/>
        <w:ind w:firstLine="709"/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 xml:space="preserve">pobrania z lekarzem. </w:t>
      </w:r>
    </w:p>
    <w:p w:rsidR="007361A8" w:rsidRPr="00F17059" w:rsidRDefault="007361A8" w:rsidP="00F17059">
      <w:pPr>
        <w:pStyle w:val="Textbody"/>
        <w:numPr>
          <w:ilvl w:val="0"/>
          <w:numId w:val="3"/>
        </w:numPr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>Przed badaniem hormonów płciowych zaleca się zachowanie min. 3 dni wstrzemięźliwości płciowej .</w:t>
      </w:r>
    </w:p>
    <w:p w:rsidR="00E665A6" w:rsidRPr="00F17059" w:rsidRDefault="007361A8" w:rsidP="00F17059">
      <w:pPr>
        <w:pStyle w:val="Textbody"/>
        <w:numPr>
          <w:ilvl w:val="0"/>
          <w:numId w:val="3"/>
        </w:numPr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 xml:space="preserve">Przed badaniem PSA </w:t>
      </w:r>
      <w:r w:rsidR="00B0419A" w:rsidRPr="00F17059">
        <w:rPr>
          <w:rFonts w:ascii="Arial Narrow" w:hAnsi="Arial Narrow"/>
          <w:sz w:val="20"/>
          <w:szCs w:val="20"/>
        </w:rPr>
        <w:t xml:space="preserve"> (</w:t>
      </w:r>
      <w:r w:rsidRPr="00F17059">
        <w:rPr>
          <w:rFonts w:ascii="Arial Narrow" w:hAnsi="Arial Narrow"/>
          <w:sz w:val="20"/>
          <w:szCs w:val="20"/>
        </w:rPr>
        <w:t xml:space="preserve">marker raka prostaty </w:t>
      </w:r>
      <w:r w:rsidR="00B0419A" w:rsidRPr="00F17059">
        <w:rPr>
          <w:rFonts w:ascii="Arial Narrow" w:hAnsi="Arial Narrow"/>
          <w:sz w:val="20"/>
          <w:szCs w:val="20"/>
        </w:rPr>
        <w:t xml:space="preserve">) </w:t>
      </w:r>
      <w:r w:rsidRPr="00F17059">
        <w:rPr>
          <w:rFonts w:ascii="Arial Narrow" w:hAnsi="Arial Narrow"/>
          <w:sz w:val="20"/>
          <w:szCs w:val="20"/>
        </w:rPr>
        <w:t>u mężczyzn należy</w:t>
      </w:r>
      <w:r w:rsidR="00B0419A" w:rsidRPr="00F17059">
        <w:rPr>
          <w:rFonts w:ascii="Arial Narrow" w:hAnsi="Arial Narrow"/>
          <w:sz w:val="20"/>
          <w:szCs w:val="20"/>
        </w:rPr>
        <w:t xml:space="preserve"> unikać intensywnego wysiłku fizycznego, </w:t>
      </w:r>
    </w:p>
    <w:p w:rsidR="007361A8" w:rsidRPr="00F17059" w:rsidRDefault="00B0419A" w:rsidP="00F17059">
      <w:pPr>
        <w:pStyle w:val="Textbody"/>
        <w:ind w:left="705"/>
        <w:rPr>
          <w:rFonts w:ascii="Arial Narrow" w:hAnsi="Arial Narrow"/>
          <w:sz w:val="20"/>
          <w:szCs w:val="20"/>
        </w:rPr>
      </w:pPr>
      <w:r w:rsidRPr="00F17059">
        <w:rPr>
          <w:rFonts w:ascii="Arial Narrow" w:hAnsi="Arial Narrow"/>
          <w:sz w:val="20"/>
          <w:szCs w:val="20"/>
        </w:rPr>
        <w:t xml:space="preserve">długotrwałej jazdy na rowerze pobrania po badaniu per </w:t>
      </w:r>
      <w:proofErr w:type="spellStart"/>
      <w:r w:rsidRPr="00F17059">
        <w:rPr>
          <w:rFonts w:ascii="Arial Narrow" w:hAnsi="Arial Narrow"/>
          <w:sz w:val="20"/>
          <w:szCs w:val="20"/>
        </w:rPr>
        <w:t>rectum</w:t>
      </w:r>
      <w:proofErr w:type="spellEnd"/>
      <w:r w:rsidRPr="00F17059">
        <w:rPr>
          <w:rFonts w:ascii="Arial Narrow" w:hAnsi="Arial Narrow"/>
          <w:sz w:val="20"/>
          <w:szCs w:val="20"/>
        </w:rPr>
        <w:t xml:space="preserve">, po biopsji prostaty ( </w:t>
      </w:r>
      <w:r w:rsidR="00E665A6" w:rsidRPr="00F17059">
        <w:rPr>
          <w:rFonts w:ascii="Arial Narrow" w:hAnsi="Arial Narrow"/>
          <w:sz w:val="20"/>
          <w:szCs w:val="20"/>
        </w:rPr>
        <w:t xml:space="preserve">odstęp około miesiąca) oraz należy zachować na  3 dni przed badaniem  wstrzemięźliwość płciową. </w:t>
      </w:r>
    </w:p>
    <w:p w:rsidR="00E41A46" w:rsidRPr="00F17059" w:rsidRDefault="00E41A46" w:rsidP="00F17059">
      <w:pPr>
        <w:pStyle w:val="Textbody"/>
        <w:rPr>
          <w:rFonts w:ascii="Arial Narrow" w:hAnsi="Arial Narrow"/>
          <w:sz w:val="20"/>
          <w:szCs w:val="20"/>
        </w:rPr>
      </w:pPr>
    </w:p>
    <w:p w:rsidR="00E665A6" w:rsidRPr="00F17059" w:rsidRDefault="00E665A6" w:rsidP="00F17059">
      <w:pPr>
        <w:pStyle w:val="Textbody"/>
        <w:rPr>
          <w:rFonts w:ascii="Arial Narrow" w:hAnsi="Arial Narrow"/>
          <w:sz w:val="20"/>
          <w:szCs w:val="20"/>
        </w:rPr>
      </w:pPr>
    </w:p>
    <w:p w:rsidR="00E665A6" w:rsidRPr="00F17059" w:rsidRDefault="00E665A6" w:rsidP="00F17059">
      <w:pPr>
        <w:pStyle w:val="Textbody"/>
        <w:rPr>
          <w:rFonts w:ascii="Arial Narrow" w:hAnsi="Arial Narrow"/>
          <w:i/>
          <w:sz w:val="20"/>
          <w:szCs w:val="20"/>
        </w:rPr>
      </w:pPr>
      <w:r w:rsidRPr="00F17059">
        <w:rPr>
          <w:rFonts w:ascii="Arial Narrow" w:hAnsi="Arial Narrow"/>
          <w:i/>
          <w:sz w:val="20"/>
          <w:szCs w:val="20"/>
        </w:rPr>
        <w:t>Uwaga :</w:t>
      </w:r>
    </w:p>
    <w:p w:rsidR="00E665A6" w:rsidRPr="00F17059" w:rsidRDefault="00E665A6" w:rsidP="00F17059">
      <w:pPr>
        <w:pStyle w:val="Textbody"/>
        <w:rPr>
          <w:rFonts w:ascii="Arial Narrow" w:hAnsi="Arial Narrow"/>
          <w:i/>
          <w:sz w:val="20"/>
          <w:szCs w:val="20"/>
        </w:rPr>
      </w:pPr>
      <w:r w:rsidRPr="00F17059">
        <w:rPr>
          <w:rFonts w:ascii="Arial Narrow" w:hAnsi="Arial Narrow"/>
          <w:i/>
          <w:sz w:val="20"/>
          <w:szCs w:val="20"/>
        </w:rPr>
        <w:t>Interpretacji wyników dokonuje lekarz, uwzględniając stan kliniczny pacjenta.</w:t>
      </w:r>
    </w:p>
    <w:p w:rsidR="00E665A6" w:rsidRPr="00F17059" w:rsidRDefault="00E665A6" w:rsidP="00F17059">
      <w:pPr>
        <w:pStyle w:val="Textbody"/>
        <w:rPr>
          <w:rFonts w:ascii="Arial Narrow" w:hAnsi="Arial Narrow"/>
          <w:i/>
          <w:sz w:val="20"/>
          <w:szCs w:val="20"/>
        </w:rPr>
      </w:pPr>
      <w:r w:rsidRPr="00F17059">
        <w:rPr>
          <w:rFonts w:ascii="Arial Narrow" w:hAnsi="Arial Narrow"/>
          <w:i/>
          <w:sz w:val="20"/>
          <w:szCs w:val="20"/>
        </w:rPr>
        <w:t xml:space="preserve">Wyniki z różnych laboratoriów mogą nie być porównywalne ze względu na  różnice metod, odczynników i aparatury.  </w:t>
      </w:r>
    </w:p>
    <w:sectPr w:rsidR="00E665A6" w:rsidRPr="00F17059" w:rsidSect="00B6319C">
      <w:footerReference w:type="default" r:id="rId8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61A8" w:rsidRDefault="007361A8" w:rsidP="00B6319C">
      <w:r>
        <w:separator/>
      </w:r>
    </w:p>
  </w:endnote>
  <w:endnote w:type="continuationSeparator" w:id="0">
    <w:p w:rsidR="007361A8" w:rsidRDefault="007361A8" w:rsidP="00B631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1A8" w:rsidRDefault="007361A8">
    <w:pPr>
      <w:pStyle w:val="Footer"/>
    </w:pPr>
  </w:p>
  <w:p w:rsidR="007361A8" w:rsidRDefault="007361A8">
    <w:pPr>
      <w:pStyle w:val="Footer"/>
    </w:pPr>
  </w:p>
  <w:p w:rsidR="007361A8" w:rsidRDefault="007361A8">
    <w:pPr>
      <w:pStyle w:val="Footer"/>
    </w:pPr>
  </w:p>
  <w:p w:rsidR="007361A8" w:rsidRDefault="007361A8">
    <w:pPr>
      <w:pStyle w:val="Footer"/>
    </w:pPr>
  </w:p>
  <w:p w:rsidR="007361A8" w:rsidRDefault="007361A8">
    <w:pPr>
      <w:pStyle w:val="Footer"/>
    </w:pPr>
  </w:p>
  <w:p w:rsidR="007361A8" w:rsidRDefault="007361A8">
    <w:pPr>
      <w:pStyle w:val="Footer"/>
    </w:pPr>
  </w:p>
  <w:p w:rsidR="007361A8" w:rsidRDefault="007361A8">
    <w:pPr>
      <w:pStyle w:val="Footer"/>
    </w:pPr>
  </w:p>
  <w:p w:rsidR="007361A8" w:rsidRDefault="007361A8">
    <w:pPr>
      <w:pStyle w:val="Footer"/>
    </w:pPr>
  </w:p>
  <w:p w:rsidR="007361A8" w:rsidRDefault="00F17059">
    <w:pPr>
      <w:pStyle w:val="Footer"/>
    </w:pPr>
    <w:r>
      <w:tab/>
    </w:r>
    <w:r>
      <w:tab/>
    </w:r>
    <w:fldSimple w:instr=" PAGE ">
      <w:r w:rsidR="00A11E2C">
        <w:rPr>
          <w:noProof/>
        </w:rPr>
        <w:t>1</w:t>
      </w:r>
    </w:fldSimple>
    <w:r w:rsidR="007361A8">
      <w:t xml:space="preserve">z </w:t>
    </w:r>
    <w:fldSimple w:instr=" NUMPAGES ">
      <w:r w:rsidR="00A11E2C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61A8" w:rsidRDefault="007361A8" w:rsidP="00B6319C">
      <w:r w:rsidRPr="00B6319C">
        <w:rPr>
          <w:color w:val="000000"/>
        </w:rPr>
        <w:separator/>
      </w:r>
    </w:p>
  </w:footnote>
  <w:footnote w:type="continuationSeparator" w:id="0">
    <w:p w:rsidR="007361A8" w:rsidRDefault="007361A8" w:rsidP="00B631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36F53"/>
    <w:multiLevelType w:val="multilevel"/>
    <w:tmpl w:val="DF729F2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rPr>
        <w:rFonts w:ascii="OpenSymbol" w:eastAsia="OpenSymbol" w:hAnsi="OpenSymbol" w:cs="OpenSymbol"/>
      </w:rPr>
    </w:lvl>
    <w:lvl w:ilvl="2">
      <w:numFmt w:val="bullet"/>
      <w:lvlText w:val="•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•"/>
      <w:lvlJc w:val="left"/>
      <w:rPr>
        <w:rFonts w:ascii="OpenSymbol" w:eastAsia="OpenSymbol" w:hAnsi="OpenSymbol" w:cs="OpenSymbol"/>
      </w:rPr>
    </w:lvl>
    <w:lvl w:ilvl="5">
      <w:numFmt w:val="bullet"/>
      <w:lvlText w:val="•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•"/>
      <w:lvlJc w:val="left"/>
      <w:rPr>
        <w:rFonts w:ascii="OpenSymbol" w:eastAsia="OpenSymbol" w:hAnsi="OpenSymbol" w:cs="OpenSymbol"/>
      </w:rPr>
    </w:lvl>
    <w:lvl w:ilvl="8">
      <w:numFmt w:val="bullet"/>
      <w:lvlText w:val="•"/>
      <w:lvlJc w:val="left"/>
      <w:rPr>
        <w:rFonts w:ascii="OpenSymbol" w:eastAsia="OpenSymbol" w:hAnsi="OpenSymbol" w:cs="OpenSymbol"/>
      </w:rPr>
    </w:lvl>
  </w:abstractNum>
  <w:abstractNum w:abstractNumId="1">
    <w:nsid w:val="32BA554E"/>
    <w:multiLevelType w:val="hybridMultilevel"/>
    <w:tmpl w:val="A17233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4705E2"/>
    <w:multiLevelType w:val="multilevel"/>
    <w:tmpl w:val="DF729F2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rPr>
        <w:rFonts w:ascii="OpenSymbol" w:eastAsia="OpenSymbol" w:hAnsi="OpenSymbol" w:cs="OpenSymbol"/>
      </w:rPr>
    </w:lvl>
    <w:lvl w:ilvl="2">
      <w:numFmt w:val="bullet"/>
      <w:lvlText w:val="•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•"/>
      <w:lvlJc w:val="left"/>
      <w:rPr>
        <w:rFonts w:ascii="OpenSymbol" w:eastAsia="OpenSymbol" w:hAnsi="OpenSymbol" w:cs="OpenSymbol"/>
      </w:rPr>
    </w:lvl>
    <w:lvl w:ilvl="5">
      <w:numFmt w:val="bullet"/>
      <w:lvlText w:val="•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•"/>
      <w:lvlJc w:val="left"/>
      <w:rPr>
        <w:rFonts w:ascii="OpenSymbol" w:eastAsia="OpenSymbol" w:hAnsi="OpenSymbol" w:cs="OpenSymbol"/>
      </w:rPr>
    </w:lvl>
    <w:lvl w:ilvl="8">
      <w:numFmt w:val="bullet"/>
      <w:lvlText w:val="•"/>
      <w:lvlJc w:val="left"/>
      <w:rPr>
        <w:rFonts w:ascii="OpenSymbol" w:eastAsia="OpenSymbol" w:hAnsi="OpenSymbol" w:cs="OpenSymbol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6319C"/>
    <w:rsid w:val="002737D1"/>
    <w:rsid w:val="007361A8"/>
    <w:rsid w:val="00867E58"/>
    <w:rsid w:val="00910D9F"/>
    <w:rsid w:val="00950D19"/>
    <w:rsid w:val="009B6F59"/>
    <w:rsid w:val="00A11E2C"/>
    <w:rsid w:val="00A12C97"/>
    <w:rsid w:val="00AA212D"/>
    <w:rsid w:val="00B0419A"/>
    <w:rsid w:val="00B31F12"/>
    <w:rsid w:val="00B6319C"/>
    <w:rsid w:val="00B84743"/>
    <w:rsid w:val="00CD29A0"/>
    <w:rsid w:val="00DF4A40"/>
    <w:rsid w:val="00E41A46"/>
    <w:rsid w:val="00E665A6"/>
    <w:rsid w:val="00F17059"/>
    <w:rsid w:val="00FA0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474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6319C"/>
  </w:style>
  <w:style w:type="paragraph" w:customStyle="1" w:styleId="Heading">
    <w:name w:val="Heading"/>
    <w:basedOn w:val="Standard"/>
    <w:next w:val="Textbody"/>
    <w:rsid w:val="00B6319C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B6319C"/>
    <w:pPr>
      <w:spacing w:after="140" w:line="276" w:lineRule="auto"/>
    </w:pPr>
  </w:style>
  <w:style w:type="paragraph" w:styleId="Lista">
    <w:name w:val="List"/>
    <w:basedOn w:val="Textbody"/>
    <w:rsid w:val="00B6319C"/>
  </w:style>
  <w:style w:type="paragraph" w:customStyle="1" w:styleId="Caption">
    <w:name w:val="Caption"/>
    <w:basedOn w:val="Standard"/>
    <w:rsid w:val="00B6319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B6319C"/>
    <w:pPr>
      <w:suppressLineNumbers/>
    </w:pPr>
  </w:style>
  <w:style w:type="paragraph" w:customStyle="1" w:styleId="HeaderandFooter">
    <w:name w:val="Header and Footer"/>
    <w:basedOn w:val="Standard"/>
    <w:rsid w:val="00B6319C"/>
    <w:pPr>
      <w:suppressLineNumbers/>
      <w:tabs>
        <w:tab w:val="center" w:pos="4819"/>
        <w:tab w:val="right" w:pos="9638"/>
      </w:tabs>
    </w:pPr>
  </w:style>
  <w:style w:type="paragraph" w:customStyle="1" w:styleId="Footer">
    <w:name w:val="Footer"/>
    <w:basedOn w:val="HeaderandFooter"/>
    <w:rsid w:val="00B6319C"/>
  </w:style>
  <w:style w:type="character" w:customStyle="1" w:styleId="StrongEmphasis">
    <w:name w:val="Strong Emphasis"/>
    <w:rsid w:val="00B6319C"/>
    <w:rPr>
      <w:b/>
      <w:bCs/>
    </w:rPr>
  </w:style>
  <w:style w:type="paragraph" w:styleId="Stopka">
    <w:name w:val="footer"/>
    <w:basedOn w:val="Normalny"/>
    <w:link w:val="StopkaZnak"/>
    <w:uiPriority w:val="99"/>
    <w:semiHidden/>
    <w:unhideWhenUsed/>
    <w:rsid w:val="00B6319C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B6319C"/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semiHidden/>
    <w:unhideWhenUsed/>
    <w:rsid w:val="00F1705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F17059"/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399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WSM</Company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 Madej</dc:creator>
  <cp:lastModifiedBy>madejm</cp:lastModifiedBy>
  <cp:revision>8</cp:revision>
  <cp:lastPrinted>2026-03-10T12:39:00Z</cp:lastPrinted>
  <dcterms:created xsi:type="dcterms:W3CDTF">2025-07-16T10:59:00Z</dcterms:created>
  <dcterms:modified xsi:type="dcterms:W3CDTF">2026-03-10T12:39:00Z</dcterms:modified>
</cp:coreProperties>
</file>